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Ovanåker kommunfullmäktige</w:t>
      </w:r>
    </w:p>
    <w:p>
      <w:pPr>
        <w:pStyle w:val="Heading1"/>
      </w:pPr>
      <w:r>
        <w:t xml:space="preserve">Fler lärare för bättre skolresultat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Ovanåker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Ovanåkers meritvärde årskurs 9 är 215 poäng (Kolada 2024), under rikssnitt. Lärartätheten är låg. Fler behöriga lärare behövs för att höja kunskapsresultaten.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Ovanåker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öka antalet legitimerade lärare med fem heltidstjänster i grundskolan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ett särskilt stödprogram för skolor i Edsbyn och Alfta införs.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lärarlönerna höjs i nivå med genomsnittet i Gävleborg.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av meritvärde redovisas årligen.</w:t>
      </w:r>
    </w:p>
    <w:p>
      <w:pPr>
        <w:spacing w:before="360"/>
      </w:pPr>
    </w:p>
    <w:p>
      <w:r>
        <w:t xml:space="preserve">Ovanåker,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Ovanåker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2026-07-14T01:06:18.843Z</dcterms:created>
  <dcterms:modified xsi:type="dcterms:W3CDTF">2026-07-14T01:06:18.843Z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