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Söderhamn kommunfullmäktige</w:t>
      </w:r>
    </w:p>
    <w:p>
      <w:pPr>
        <w:pStyle w:val="Heading1"/>
      </w:pPr>
      <w:r>
        <w:t xml:space="preserve">Insatser för bättre skolresultat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Söderhamn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Meritvärdet i Söderhamns skolor är 215 (Kolada 2024), under rikssnitt. Stödinsatser behövs i områden som Sandarne och Marmen för att öka likvärdighet.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Söderhamn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anställa 8 extra speciallärare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införa läxhjälp och lägerverksamhet i lågpresterande skolor.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öka lärartätheten i årskurs 4–6.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av meritvärden redovisas.</w:t>
      </w:r>
    </w:p>
    <w:p>
      <w:pPr>
        <w:spacing w:before="360"/>
      </w:pPr>
    </w:p>
    <w:p>
      <w:r>
        <w:t xml:space="preserve">Söderhamn,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Söderhamn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2026-07-14T01:29:17.875Z</dcterms:created>
  <dcterms:modified xsi:type="dcterms:W3CDTF">2026-07-14T01:29:17.875Z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