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Habo kommunfullmäktige</w:t>
      </w:r>
    </w:p>
    <w:p>
      <w:pPr>
        <w:pStyle w:val="Heading1"/>
      </w:pPr>
      <w:r>
        <w:t xml:space="preserve">Ungdomsverksamhet och sommarjobb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Habo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2024 visar att 23 % av Habos ungdomar upplever otrygghet kvällstid. Få kommunala sommarjobb erbjuds idag.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Habo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kultur- och fritidsnämnden får i uppdrag att utöka öppna verksamheter för 13–19 åringar.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80 sommarjobb erbjuds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verksamheten samordnas med socialtjänsten.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utvärdering sker efter sommaren 2027.</w:t>
      </w:r>
    </w:p>
    <w:p>
      <w:pPr>
        <w:spacing w:before="360"/>
      </w:pPr>
    </w:p>
    <w:p>
      <w:r>
        <w:t xml:space="preserve">Habo,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Habo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2026-07-14T00:05:32.200Z</dcterms:created>
  <dcterms:modified xsi:type="dcterms:W3CDTF">2026-07-14T00:05:32.200Z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