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Mullsjö kommunfullmäktige</w:t>
      </w:r>
    </w:p>
    <w:p>
      <w:pPr>
        <w:pStyle w:val="Heading1"/>
      </w:pPr>
      <w:r>
        <w:t xml:space="preserve">Öka medborgarinflytande via öppen budgetprocess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Mullsjö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Mullsjö kommun har låg transparens i budgetarbetet enligt SKR:s demokratiindex 2024. Medborgarinflytande stärker demokratin och förtroendet för politiken.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Mullsjö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öppen budgetprocess med medborgardialog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alla budgetunderlag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anordna minst två öppna budgetmöten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hur medborgarförslag hanteras.</w:t>
      </w:r>
    </w:p>
    <w:p>
      <w:pPr>
        <w:spacing w:before="360"/>
      </w:pPr>
    </w:p>
    <w:p>
      <w:r>
        <w:t xml:space="preserve">Mullsjö,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Mullsjö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2026-07-14T00:52:05.902Z</dcterms:created>
  <dcterms:modified xsi:type="dcterms:W3CDTF">2026-07-14T00:52:05.902Z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