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Vaggeryd kommunfullmäktige</w:t>
      </w:r>
    </w:p>
    <w:p>
      <w:pPr>
        <w:pStyle w:val="Heading1"/>
      </w:pPr>
      <w:r>
        <w:t xml:space="preserve">Bättre SFI och arbetsmarknadsinsatser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Vaggeryd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SFI-genomströmningen i Vaggeryd ligger under länsgenomsnittet enligt Skolverket 2024. Många nyanlända saknar koppling till lokala industrijobb.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Vaggeryd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vuxenutbildningsnämnden tilldelas resurser för utökad SFI med arbetsplatsförlagt lärande.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30 praktikplatser kopplas till SFI-undervisningen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Arbetsförmedlingen och lokala företag formaliseras.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av deltagarnas etablering redovisas årligen.</w:t>
      </w:r>
    </w:p>
    <w:p>
      <w:pPr>
        <w:spacing w:before="360"/>
      </w:pPr>
    </w:p>
    <w:p>
      <w:r>
        <w:t xml:space="preserve">Vaggeryd,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Vaggeryd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2026-07-14T01:44:40.334Z</dcterms:created>
  <dcterms:modified xsi:type="dcterms:W3CDTF">2026-07-14T01:44:40.334Z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