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Lessebo kommunfullmäktige</w:t>
      </w:r>
    </w:p>
    <w:p>
      <w:pPr>
        <w:pStyle w:val="Heading1"/>
      </w:pPr>
      <w:r>
        <w:t xml:space="preserve">Utökad SFI med arbetsmarknadsfokus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Lessebo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SFI-genomströmningen är 62 % (Skolverket 2024). Koppling till jobb ökar integrationen.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Lessebo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SFI med 15 platser kombinerat med yrkespraktik.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en SFI-samordnare med arbetslivsinriktning.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glasindustrin för språkutbildning på arbetsplatsen.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sysselsättning 6 månader efter avslutad SFI.</w:t>
      </w:r>
    </w:p>
    <w:p>
      <w:pPr>
        <w:spacing w:before="360"/>
      </w:pPr>
    </w:p>
    <w:p>
      <w:r>
        <w:t xml:space="preserve">Lessebo,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Lessebo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2026-07-14T00:38:15.047Z</dcterms:created>
  <dcterms:modified xsi:type="dcterms:W3CDTF">2026-07-14T00:38:15.047Z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