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Uppvidinge kommunfullmäktige</w:t>
      </w:r>
    </w:p>
    <w:p>
      <w:pPr>
        <w:pStyle w:val="Heading1"/>
      </w:pPr>
      <w:r>
        <w:t xml:space="preserve">Utökad SFI och språkstöd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Uppvidinge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SFI-kapaciteten i Uppvidinge är begränsad enligt kommunens integrationsrapport. Språkkunskaper är avgörande för jobb och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Uppvidinge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vuxenutbildningen får resurser för minst 20 procent fler SFI-platser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kombination med praktik utökas.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inslag förstärks för flexibilitet.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i integrationsnämndens årsrapport.</w:t>
      </w:r>
    </w:p>
    <w:p>
      <w:pPr>
        <w:spacing w:before="360"/>
      </w:pPr>
    </w:p>
    <w:p>
      <w:r>
        <w:t xml:space="preserve">Uppvidinge,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Uppvidinge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2026-07-14T01:43:38.443Z</dcterms:created>
  <dcterms:modified xsi:type="dcterms:W3CDTF">2026-07-14T01:43:38.443Z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