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Piteå kommunfullmäktige</w:t>
      </w:r>
    </w:p>
    <w:p>
      <w:pPr>
        <w:pStyle w:val="Heading1"/>
      </w:pPr>
      <w:r>
        <w:t xml:space="preserve">Fler förskoleplatser i Piteå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Piteå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barn i åldern 1–5 år har ökat med 8 % sedan 2022 samtidigt som köerna till förskola i centrala Piteå är långa. Enligt kommunens egen uppföljning 2025 saknas cirka 45 platser. Bristen påverkar föräldrars möjlighet att arbeta och barnens tidiga utveckling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Piteå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barn- och utbildningsnämnden i uppdrag att snarast utöka antalet förskoleplatser i centrala Piteå med minst 50 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tillfällig paviljonglösning utreds för läsåret 2026/2027 i väntan på permanenta lokaler.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barn- och utbildningsnämnden redovisar en plan för långsiktig kapacitetsökning senast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avsätter 4,5 mnkr i investeringsbudgeten 2027 för ändamålet.</w:t>
      </w:r>
    </w:p>
    <w:p>
      <w:pPr>
        <w:spacing w:before="360"/>
      </w:pPr>
    </w:p>
    <w:p>
      <w:r>
        <w:t xml:space="preserve">Piteå,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Piteå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2026-07-14T01:09:14.055Z</dcterms:created>
  <dcterms:modified xsi:type="dcterms:W3CDTF">2026-07-14T01:09:14.055Z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