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Piteå kommunfullmäktige</w:t>
      </w:r>
    </w:p>
    <w:p>
      <w:pPr>
        <w:pStyle w:val="Heading1"/>
      </w:pPr>
      <w:r>
        <w:t xml:space="preserve">Förebyggande trygghetsarbete för unga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Piteå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Brå:s trygghetsundersökning 2024 visar att 23 % av ungdomarna i Piteå känner sig otrygga kvällstid, främst i Furunäset och centrala områden. Förebyggande insatser har minskat de senaste åren.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Piteå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socialnämnden och kultur- och fritidsnämnden gemensamt tar fram en handlingsplan mot ungdomskriminalitet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minst 15 nya fritidsledartjänster inrättas i områden med högst behov.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polis och skola förstärks genom gemensamma lägesbilder varje kvartal.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avsätter 3,8 mnkr per år för utökade öppettider på fritidsgårdar.</w:t>
      </w:r>
    </w:p>
    <w:p>
      <w:pPr>
        <w:spacing w:before="360"/>
      </w:pPr>
    </w:p>
    <w:p>
      <w:r>
        <w:t xml:space="preserve">Piteå,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Piteå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2026-07-14T01:09:14.074Z</dcterms:created>
  <dcterms:modified xsi:type="dcterms:W3CDTF">2026-07-14T01:09:14.074Z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