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Laxå kommunfullmäktige</w:t>
      </w:r>
    </w:p>
    <w:p>
      <w:pPr>
        <w:pStyle w:val="Heading1"/>
      </w:pPr>
      <w:r>
        <w:t xml:space="preserve">Fler hyresrätter för unga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Laxå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Boverkets bostadsmarknadsenkät 2024 visar underskott på hyresrätter i Laxå, särskilt för unga. Detta bidrar till utflyttning och svårigheter att etablera sig lokalt.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Laxå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ger kommunstyrelsen i uppdrag att planera för minst 40 nya hyresrätter fram till 2029.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markanvisningar prioriteras för kommunala och allmännyttiga bostadsbolag.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krav på rimliga hyror och ungdomskvoter ställs vid markanvisning.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lägesrapport om bostadsbyggande lämnas årligen till kommunfullmäktige.</w:t>
      </w:r>
    </w:p>
    <w:p>
      <w:pPr>
        <w:spacing w:before="360"/>
      </w:pPr>
    </w:p>
    <w:p>
      <w:r>
        <w:t xml:space="preserve">Laxå,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Laxå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2026-07-14T00:35:48.011Z</dcterms:created>
  <dcterms:modified xsi:type="dcterms:W3CDTF">2026-07-14T00:35:48.011Z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