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Lekeberg kommunfullmäktige</w:t>
      </w:r>
    </w:p>
    <w:p>
      <w:pPr>
        <w:pStyle w:val="Heading1"/>
      </w:pPr>
      <w:r>
        <w:t xml:space="preserve">Öppen budgetprocess och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Lekeberg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Lekeberg är lågt. En mer transparent budgetprocess stärker demokratin och ökar förtroendet för politiken.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Lekeberg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budgethearing med medborgardialog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nämndprotokoll och underlag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emot och behandla minst fem medborgarförslag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demokratiarbetet i en årlig rapport.</w:t>
      </w:r>
    </w:p>
    <w:p>
      <w:pPr>
        <w:spacing w:before="360"/>
      </w:pPr>
    </w:p>
    <w:p>
      <w:r>
        <w:t xml:space="preserve">Lekeberg,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Lekeberg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2026-07-14T00:36:25.275Z</dcterms:created>
  <dcterms:modified xsi:type="dcterms:W3CDTF">2026-07-14T00:36:25.275Z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