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Finspång kommunfullmäktige</w:t>
      </w:r>
    </w:p>
    <w:p>
      <w:pPr>
        <w:pStyle w:val="Heading1"/>
      </w:pPr>
      <w:r>
        <w:t xml:space="preserve">Öppen budget med medborgardialog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Socialdemokraterna i Finspång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Finspång saknar strukturerad medborgardialog enligt kommunens egen översyn 2025. Ökad transparens stärker demokratin och prioriterar välfärd.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Socialdemokraterna i Finspång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en modell för öppen budgetprocess införs inför budget 2028.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minst tre medborgardialoger hålls per år i olika kommundelar.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förslag från dialogerna redovisas i budgetunderlaget.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en digital plattform för medborgarförslag lanseras 2027.</w:t>
      </w:r>
    </w:p>
    <w:p>
      <w:pPr>
        <w:spacing w:before="360"/>
      </w:pPr>
    </w:p>
    <w:p>
      <w:r>
        <w:t xml:space="preserve">Finspång,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Socialdemokraterna i Finspång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2026-07-13T23:55:45.149Z</dcterms:created>
  <dcterms:modified xsi:type="dcterms:W3CDTF">2026-07-13T23:55:45.149Z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