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Mjölby kommunfullmäktige</w:t>
      </w:r>
    </w:p>
    <w:p>
      <w:pPr>
        <w:pStyle w:val="Heading1"/>
      </w:pPr>
      <w:r>
        <w:t xml:space="preserve">Fasta anställningar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Mjölby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Personalomsättningen i Mjölbys äldreomsorg uppgick till 42 % 2024 enligt Kolada. Många timvikarier leder till sämre kontinuitet och kvalitet. Fasta tjänster är nödvändigt för både brukare och medarbetare.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Mjölby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omvandla minst 30 timvikariat till fasta heltidsanställningar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heltidsnorm införs inom hemtjänst och särskilt boende.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arbetsmiljöåtgärder för att minska sjukfrånvaro prioriteras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i samband med delårsrapporten 2027.</w:t>
      </w:r>
    </w:p>
    <w:p>
      <w:pPr>
        <w:spacing w:before="360"/>
      </w:pPr>
    </w:p>
    <w:p>
      <w:r>
        <w:t xml:space="preserve">Mjölby,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Mjölby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2026-07-14T00:50:24.556Z</dcterms:created>
  <dcterms:modified xsi:type="dcterms:W3CDTF">2026-07-14T00:50:24.556Z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