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Ödeshög kommunfullmäktige</w:t>
      </w:r>
    </w:p>
    <w:p>
      <w:pPr>
        <w:pStyle w:val="Heading1"/>
      </w:pPr>
      <w:r>
        <w:t xml:space="preserve">Öppen budgetprocess med medborgardialog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Ödeshög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Medborgarinflytandet är lågt enligt SKR:s demokratiindex 2024. Få invånare känner till hur budgeten prioriteras.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Ödeshög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öppen budgetdialog genomförs varje höst med minst tre medborgarmöten.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budgetunderlag publiceras på kommunens webbplats 30 dagar före beslut.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medborgarförslag ges större utrymme i nämnderna.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delaktigheten redovisas för fullmäktige 2027.</w:t>
      </w:r>
    </w:p>
    <w:p>
      <w:pPr>
        <w:spacing w:before="360"/>
      </w:pPr>
    </w:p>
    <w:p>
      <w:r>
        <w:t xml:space="preserve">Ödeshög,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Ödeshög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2026-07-14T02:04:20.597Z</dcterms:created>
  <dcterms:modified xsi:type="dcterms:W3CDTF">2026-07-14T02:04:20.597Z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