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Höör kommunfullmäktige</w:t>
      </w:r>
    </w:p>
    <w:p>
      <w:pPr>
        <w:pStyle w:val="Heading1"/>
      </w:pPr>
      <w:r>
        <w:t xml:space="preserve">Fler platser i förskolan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Höör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Höör har enligt Kolada 2024 en täckningsgrad på 92 % för barn 1–5 år, lägre än Skånesnittet. Väntetider på 4–6 månader förekommer i centralorten. Bristande platstillgång påverkar föräldrars arbetsmarknadsdeltagande och barns tidiga utveckling.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Höör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barn- och utbildningsnämnden i uppdrag att utöka antalet förskoleplatser med minst 40 platser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översyn av befintliga lokaler och nybyggnation prioriteras i budget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privata aktörer sker under kommunal regi och kvalitetskontroll.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av platstillgång redovisas i nämndens delårsrapport 2027.</w:t>
      </w:r>
    </w:p>
    <w:p>
      <w:pPr>
        <w:spacing w:before="360"/>
      </w:pPr>
    </w:p>
    <w:p>
      <w:r>
        <w:t xml:space="preserve">Höör,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Höör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2026-07-14T00:19:55.333Z</dcterms:created>
  <dcterms:modified xsi:type="dcterms:W3CDTF">2026-07-14T00:19:55.333Z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