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Malmö kommunfullmäktige</w:t>
      </w:r>
    </w:p>
    <w:p>
      <w:pPr>
        <w:pStyle w:val="Heading1"/>
      </w:pPr>
      <w:r>
        <w:t xml:space="preserve">Obligatorisk SFI kombinerat med praktik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Malmö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SFI-genomströmningen i Malmö är 55 % (Skolverket 2025). Kombination med praktik ökar sysselsättning. 1 000 nya platser med praktik krävs.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Malmö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praktik i SFI-utbildningen.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skapa 1 000 praktikplatser i samarbete med näringslivet.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följa upp deltagarnas sysselsättning efter 6 månader.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resultat i kommunfullmäktige.</w:t>
      </w:r>
    </w:p>
    <w:p>
      <w:pPr>
        <w:spacing w:before="360"/>
      </w:pPr>
    </w:p>
    <w:p>
      <w:r>
        <w:t xml:space="preserve">Malmö,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Malmö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2026-07-14T00:47:07.820Z</dcterms:created>
  <dcterms:modified xsi:type="dcterms:W3CDTF">2026-07-14T00:47:07.820Z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