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Örkelljunga kommunfullmäktige</w:t>
      </w:r>
    </w:p>
    <w:p>
      <w:pPr>
        <w:pStyle w:val="Heading1"/>
      </w:pPr>
      <w:r>
        <w:t xml:space="preserve">Stärkt SFI och integrationsarbete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Örkelljunga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som fullföljer SFI inom 18 månader är 62 % i Örkelljunga (Kolada 2024). Bättre matchning mot lokala jobb och fler studieplatser behövs för snabbare etablering.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Örkelljunga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SFI-platser med 20 %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yrkesinriktad SFI i samarbete med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språkstöd i hemtjänst och vård för nyanlända.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etableringsresultat i kommunstyrelsen årligen.</w:t>
      </w:r>
    </w:p>
    <w:p>
      <w:pPr>
        <w:spacing w:before="360"/>
      </w:pPr>
    </w:p>
    <w:p>
      <w:r>
        <w:t xml:space="preserve">Örkelljunga,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Örkelljunga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2026-07-14T02:05:29.583Z</dcterms:created>
  <dcterms:modified xsi:type="dcterms:W3CDTF">2026-07-14T02:05:29.583Z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