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Örkelljunga kommunfullmäktige</w:t>
      </w:r>
    </w:p>
    <w:p>
      <w:pPr>
        <w:pStyle w:val="Heading1"/>
      </w:pPr>
      <w:r>
        <w:t xml:space="preserve">Öppen och transparent budgetprocess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Socialdemokraterna i Örkelljunga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Medborgarinflytande i budgetarbetet är begränsat i Örkelljunga. En öppen process stärker demokratin och ökar förtroendet för kommunens prioriteringar.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Socialdemokraterna i Örkelljunga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införa medborgardialoger inför varje budgetår.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publicera alla budgetunderlag öppet på kommunens webbplats.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ta emot medborgarförslag om budgetprioriteringar via e-tjänst.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redovisa hur medborgarförslag har beaktats i budgetbeslutet.</w:t>
      </w:r>
    </w:p>
    <w:p>
      <w:pPr>
        <w:spacing w:before="360"/>
      </w:pPr>
    </w:p>
    <w:p>
      <w:r>
        <w:t xml:space="preserve">Örkelljunga,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Socialdemokraterna i Örkelljunga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2026-07-14T02:05:29.592Z</dcterms:created>
  <dcterms:modified xsi:type="dcterms:W3CDTF">2026-07-14T02:05:29.592Z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