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Ystad kommunfullmäktige</w:t>
      </w:r>
    </w:p>
    <w:p>
      <w:pPr>
        <w:pStyle w:val="Heading1"/>
      </w:pPr>
      <w:r>
        <w:t xml:space="preserve">Underhåll av kommunala 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Ystad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Ystads kommunala vägnät har ett eftersatt underhåll motsvarande 85 miljoner kronor enligt kommunens tekniska förvaltning 2025. Hål och ojämnheter ökar olycksrisken.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Ystad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upprätta en tioårig underhållsplan för det kommunala vägnätet.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12 miljoner kronor årligen till väginvesteringar.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vägar med kollektivtrafik och skolskjuts.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underhållsstatus årligen till kommunfullmäktige.</w:t>
      </w:r>
    </w:p>
    <w:p>
      <w:pPr>
        <w:spacing w:before="360"/>
      </w:pPr>
    </w:p>
    <w:p>
      <w:r>
        <w:t xml:space="preserve">Ystad,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Ystad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2026-07-14T01:56:54.952Z</dcterms:created>
  <dcterms:modified xsi:type="dcterms:W3CDTF">2026-07-14T01:56:54.952Z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