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Oxelösund kommunfullmäktige</w:t>
      </w:r>
    </w:p>
    <w:p>
      <w:pPr>
        <w:pStyle w:val="Heading1"/>
      </w:pPr>
      <w:r>
        <w:t xml:space="preserve">Fasta anställningar i äldreomsorgen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Oxelösund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Oxelösunds äldreomsorg har hög andel timanställda vilket leder till otrygghet för både personal och brukare. Kommunens kvalitetsrapport 2025 visar att 28 % av omsorgstimmarna utförs av timvikarier.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Oxelösund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andelen fasta anställningar i hemtjänst och särskilt boende ska öka till minst 85 % inom två år.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en kompetensutvecklingsplan för undersköterskor tas fram.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arbetsmiljöåtgärder prioriteras för att minska sjukfrånvaro.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brukarnöjdhet mäts och redovisas kvartalsvis.</w:t>
      </w:r>
    </w:p>
    <w:p>
      <w:pPr>
        <w:spacing w:before="360"/>
      </w:pPr>
    </w:p>
    <w:p>
      <w:r>
        <w:t xml:space="preserve">Oxelösund,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Oxelösund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2026-07-14T01:06:50.626Z</dcterms:created>
  <dcterms:modified xsi:type="dcterms:W3CDTF">2026-07-14T01:06:50.626Z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