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Strängnäs kommunfullmäktige</w:t>
      </w:r>
    </w:p>
    <w:p>
      <w:pPr>
        <w:pStyle w:val="Heading1"/>
      </w:pPr>
      <w:r>
        <w:t xml:space="preserve">Fler hyresrätter i Strängnäs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Strängnäs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Strängnäs har långa bostadsköer och många unga och nyanlända saknar bostad. Enligt kommunens bostadsförsörjningsplan 2024 behövs minst 400 nya hyresrätter fram till 2030. Bristen hindrar inflyttning och tillväxt.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Strängnäs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plan för minst 200 nya kommunala hyresrätter i Strängnäs centrum inom tre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planen ska prioritera hyresrätter med rimliga hyror och blandade upplåtelseformer.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i budget 2027 för markförvärv och planering.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redovisas i kommunfullmäktige.</w:t>
      </w:r>
    </w:p>
    <w:p>
      <w:pPr>
        <w:spacing w:before="360"/>
      </w:pPr>
    </w:p>
    <w:p>
      <w:r>
        <w:t xml:space="preserve">Strängnäs,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Strängnäs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2026-07-14T01:23:00.496Z</dcterms:created>
  <dcterms:modified xsi:type="dcterms:W3CDTF">2026-07-14T01:23:00.496Z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