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Haninge kommunfullmäktige</w:t>
      </w:r>
    </w:p>
    <w:p>
      <w:pPr>
        <w:pStyle w:val="Heading1"/>
      </w:pPr>
      <w:r>
        <w:t xml:space="preserve">Insatser för höjda skolresultat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Haninge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Haninge ligger under rikssnittet i meritvärde årskurs 9 (Kolada 2024). Skillnaderna mellan skolor är stora, särskilt mellan Brandbergen och Västerhaninge. Fler behöriga lärare och tidiga insatser krävs för att bryta segregationen.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Haninge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anställa 20 fler legitimerade lärare i grundskolan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obligatorisk läxhjälp och läxstöd i alla skolor med resultat under genomsnittet.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genomföra en oberoende granskning av resursfördelningen mellan skolorna.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effekter av insatserna i årsredovisningen 2027.</w:t>
      </w:r>
    </w:p>
    <w:p>
      <w:pPr>
        <w:spacing w:before="360"/>
      </w:pPr>
    </w:p>
    <w:p>
      <w:r>
        <w:t xml:space="preserve">Haninge,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Haninge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2026-07-14T00:08:40.344Z</dcterms:created>
  <dcterms:modified xsi:type="dcterms:W3CDTF">2026-07-14T00:08:40.344Z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