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Järfälla kommunfullmäktige</w:t>
      </w:r>
    </w:p>
    <w:p>
      <w:pPr>
        <w:pStyle w:val="Heading1"/>
      </w:pPr>
      <w:r>
        <w:t xml:space="preserve">Förstärkt SFI och arbetsmarknadsinsatser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Järfälla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Andelen utrikes födda som når egen försörjning inom två år efter SFI är lägre än länsgenomsnittet enligt Kolada. Bättre koppling mellan språkutbildning och arbetsmarknaden krävs.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Järfälla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utbildningsnämnden i uppdrag att öka antalet SFI-platser med 20 procent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om obligatorisk samverkan mellan SFI och arbetsmarknadsenheten.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en utvärdering av kombinationsutbildningar med praktik.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avsätter 4 miljoner kronor i budget 2027 för förstärkta integrationsinsatser.</w:t>
      </w:r>
    </w:p>
    <w:p>
      <w:pPr>
        <w:spacing w:before="360"/>
      </w:pPr>
    </w:p>
    <w:p>
      <w:r>
        <w:t xml:space="preserve">Järfälla,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Järfälla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2026-07-14T00:21:07.051Z</dcterms:created>
  <dcterms:modified xsi:type="dcterms:W3CDTF">2026-07-14T00:21:07.051Z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