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Nynäshamn kommunfullmäktige</w:t>
      </w:r>
    </w:p>
    <w:p>
      <w:pPr>
        <w:pStyle w:val="Heading1"/>
      </w:pPr>
      <w:r>
        <w:t xml:space="preserve">Tryggare fritidsgårdar i hela kommunen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Nynäshamn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trygghetsundersökning visar oro bland ungdomar i Nynäshamn. Fler öppna och bemannade fritidsgårdar förebygger kriminalitet.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Nynäshamn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utökar öppettiderna på fritidsgårdarna med minst 20 timmar per vecka.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mobil fritidsverksamhet startas i landsbygdsområden.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föreningslivet stärks.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resultatet av trygghetsarbetet redovisas årligen.</w:t>
      </w:r>
    </w:p>
    <w:p>
      <w:pPr>
        <w:spacing w:before="360"/>
      </w:pPr>
    </w:p>
    <w:p>
      <w:r>
        <w:t xml:space="preserve">Nynäshamn,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Nynäshamn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2026-07-14T01:01:29.293Z</dcterms:created>
  <dcterms:modified xsi:type="dcterms:W3CDTF">2026-07-14T01:01:29.293Z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