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Upplands-Bro kommunfullmäktige</w:t>
      </w:r>
    </w:p>
    <w:p>
      <w:pPr>
        <w:pStyle w:val="Heading1"/>
      </w:pPr>
      <w:r>
        <w:t xml:space="preserve">Stärkt elevhälsa och stöd i Bro-skolor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Upplands-Bro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Bro-skolor ligger på 205 poäng jämfört med rikssnittet 220 (Kolada 2024). Elevhälsan är underdimensionerad vilket påverkar elever i utsatta områden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Upplands-Bro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speciallärare och kuratorer med 6 tjänster i Bro-skolor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riktade läs- och skrivinsatser i årskurs 1–3.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 miljoner kronor årligen till elevhälsoarbete i områden med lägre resultat.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av insatserna i en årlig rapport till barn- och utbildningsnämnden.</w:t>
      </w:r>
    </w:p>
    <w:p>
      <w:pPr>
        <w:spacing w:before="360"/>
      </w:pPr>
    </w:p>
    <w:p>
      <w:r>
        <w:t xml:space="preserve">Upplands-Bro,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Upplands-Bro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2026-07-14T01:42:10.447Z</dcterms:created>
  <dcterms:modified xsi:type="dcterms:W3CDTF">2026-07-14T01:42:10.447Z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