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 Väsby kommunfullmäktige</w:t>
      </w:r>
    </w:p>
    <w:p>
      <w:pPr>
        <w:pStyle w:val="Heading1"/>
      </w:pPr>
      <w:r>
        <w:t xml:space="preserve">Öppen budgetprocess med medborgarinflytande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Upplands Väsby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i budgetarbetet är begränsat i Upplands Väsby. En öppen process ökar demokrati och transparens enligt partiprioriteringar.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Upplands Väsby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öppen budgetprocess med medborgardialog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medborgarförslag ska kunna lämnas digitalt och behandlas.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pilot genomförs i två kommundelar.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presenteras för kommunfullmäktige.</w:t>
      </w:r>
    </w:p>
    <w:p>
      <w:pPr>
        <w:spacing w:before="360"/>
      </w:pPr>
    </w:p>
    <w:p>
      <w:r>
        <w:t xml:space="preserve">Upplands Väsby,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Upplands Väsby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2026-07-14T01:42:33.838Z</dcterms:created>
  <dcterms:modified xsi:type="dcterms:W3CDTF">2026-07-14T01:42:33.838Z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