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Heby kommunfullmäktige</w:t>
      </w:r>
    </w:p>
    <w:p>
      <w:pPr>
        <w:pStyle w:val="Heading1"/>
      </w:pPr>
      <w:r>
        <w:t xml:space="preserve">Ungdomsverksamhet för trygghet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Heby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2024 visar ökad otrygghet bland unga i Heby. Få fritidsaktiviteter leder till utanförskap.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Heby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öppna en ny ungdomsgård i Heby centrum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1,5 mnkr årligen för fritidsverksamhet.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anställa två ungdomsledare.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samarbeta med föreningslivet om kvällsaktiviteter.</w:t>
      </w:r>
    </w:p>
    <w:p>
      <w:pPr>
        <w:spacing w:before="360"/>
      </w:pPr>
    </w:p>
    <w:p>
      <w:r>
        <w:t xml:space="preserve">Heby,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Heby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2026-07-14T00:09:38.045Z</dcterms:created>
  <dcterms:modified xsi:type="dcterms:W3CDTF">2026-07-14T00:09:38.045Z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