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Östhammar kommunfullmäktige</w:t>
      </w:r>
    </w:p>
    <w:p>
      <w:pPr>
        <w:pStyle w:val="Heading1"/>
      </w:pPr>
      <w:r>
        <w:t xml:space="preserve">Bättre skolresultat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Östhammar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82 % av eleverna i årskurs 9 når gymnasiebehörighet jämfört med 87 % i riket (Kolada 2024). Skillnaderna är stora mellan centralorten och landsbygdsskolor. Fler lärare och tidiga insatser krävs för likvärdig 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Östhammar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anställa 8 fler legitimerade lärare i grundskolan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riktade läs- och matematikinsatser i årskurs 1–3 på alla 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 miljoner kronor årligen till kompetensutveckling för lärare.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skolresultaten med halvårsvisa rapporter till barn- och utbildningsnämnden.</w:t>
      </w:r>
    </w:p>
    <w:p>
      <w:pPr>
        <w:spacing w:before="360"/>
      </w:pPr>
    </w:p>
    <w:p>
      <w:r>
        <w:t xml:space="preserve">Östhammar,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Östhammar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2026-07-14T02:07:35.666Z</dcterms:created>
  <dcterms:modified xsi:type="dcterms:W3CDTF">2026-07-14T02:07:35.666Z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