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Östhammar kommunfullmäktige</w:t>
      </w:r>
    </w:p>
    <w:p>
      <w:pPr>
        <w:pStyle w:val="Heading1"/>
      </w:pPr>
      <w:r>
        <w:t xml:space="preserve">Stärkt SFI och arbetsmarknadsinsatser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Östhammar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42 % av nyanlända går vidare till arbete eller studier inom två år (Integrationsverket 2024). Bättre samordning mellan SFI och arbetsförmedling krävs för snabbare etablering.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Östhammar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kombinerad SFI och yrkesutbildning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extra SFI-lärare.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 miljoner kronor årligen för arbetsmarknadspraktik.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etableringstiderna halvårsvis.</w:t>
      </w:r>
    </w:p>
    <w:p>
      <w:pPr>
        <w:spacing w:before="360"/>
      </w:pPr>
    </w:p>
    <w:p>
      <w:r>
        <w:t xml:space="preserve">Östhammar,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Östhammar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2026-07-14T02:07:35.708Z</dcterms:created>
  <dcterms:modified xsi:type="dcterms:W3CDTF">2026-07-14T02:07:35.708Z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