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Eda kommunfullmäktige</w:t>
      </w:r>
    </w:p>
    <w:p>
      <w:pPr>
        <w:pStyle w:val="Heading1"/>
      </w:pPr>
      <w:r>
        <w:t xml:space="preserve">Energieffektivisering av kommunala fastigheter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Eda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fastigheter har hög energiförbrukning enligt eda.se miljöredovisning. Besparingar frigör pengar till välfärd och bidrar till klimatmål.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Eda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energikartläggning av alla kommunala lokaler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installera solceller på minst tre skolor och förskolor.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4 mnkr för energieffektivisering 2027–2028.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införa krav på energideklaration vid alla upphandlingar.</w:t>
      </w:r>
    </w:p>
    <w:p>
      <w:pPr>
        <w:spacing w:before="360"/>
      </w:pPr>
    </w:p>
    <w:p>
      <w:r>
        <w:t xml:space="preserve">Eda,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Eda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2026-07-13T23:48:51.133Z</dcterms:created>
  <dcterms:modified xsi:type="dcterms:W3CDTF">2026-07-13T23:48:51.133Z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