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Lycksele kommunfullmäktige</w:t>
      </w:r>
    </w:p>
    <w:p>
      <w:pPr>
        <w:pStyle w:val="Heading1"/>
      </w:pPr>
      <w:r>
        <w:t xml:space="preserve">Stärkt SFI och språkundervisning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Lycksele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Migrationsverket rapporterar att 65 personer deltog i SFI i Lycksele 2024. Genomströmningen är låg och få når godkända nivåer vilket försvårar etablering på arbetsmarknaden.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Lycksele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barn- och utbildningsnämnden ges i uppdrag att öka SFI-undervisningen med 30 procent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kombinerade SFI- och yrkesutbildningar införs i samarbete med vuxenutbildningen.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resultat och genomströmning redovisas årligen till kommunfullmäktige.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språkcafé-verksamhet etableras i samverkan med civilsamhället.</w:t>
      </w:r>
    </w:p>
    <w:p>
      <w:pPr>
        <w:spacing w:before="360"/>
      </w:pPr>
    </w:p>
    <w:p>
      <w:r>
        <w:t xml:space="preserve">Lycksele,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Lycksele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2026-07-14T00:45:50.100Z</dcterms:created>
  <dcterms:modified xsi:type="dcterms:W3CDTF">2026-07-14T00:45:50.100Z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