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Malå kommunfullmäktige</w:t>
      </w:r>
    </w:p>
    <w:p>
      <w:pPr>
        <w:pStyle w:val="Heading1"/>
      </w:pPr>
      <w:r>
        <w:t xml:space="preserve">Öppen budgetprocess och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Malå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Medborgarinflytandet är begränsat enligt kommunens egen utvärdering 2025. Ökad transparens stärker demokratin och förtroendet.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Malå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öppen budgethearing inför budget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medborgarförslag ska behandlas inom tre månader.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digital plattform för dialog lanseras.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antar riktlinjer för ökad transparens i beslutsprocesser.</w:t>
      </w:r>
    </w:p>
    <w:p>
      <w:pPr>
        <w:spacing w:before="360"/>
      </w:pPr>
    </w:p>
    <w:p>
      <w:r>
        <w:t xml:space="preserve">Malå,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Malå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2026-07-14T00:48:21.802Z</dcterms:created>
  <dcterms:modified xsi:type="dcterms:W3CDTF">2026-07-14T00:48:21.802Z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