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Vilhelmina kommunfullmäktige</w:t>
      </w:r>
    </w:p>
    <w:p>
      <w:pPr>
        <w:pStyle w:val="Heading1"/>
      </w:pPr>
      <w:r>
        <w:t xml:space="preserve">Stärkt elevhälsa och fler lärare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Vilhelmina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78 % av eleverna i årskurs 9 är behöriga till gymnasiet (Kolada 2024). Lärarbristen är akut på grundskolorna i Vilhelmina och Latikberg. Elevhälsan har otillräckliga resurser enligt Skolinspektionens senaste tillsyn.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Vilhelmina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anställa minst 3 nya legitimerade lärare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elevhälsoteamet med en kurator och en specialpedagog.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riktade stödinsatser i årskurs 4–6 med start höstterminen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1,8 mnkr i budget 2027 för stärkt elevhälsa.</w:t>
      </w:r>
    </w:p>
    <w:p>
      <w:pPr>
        <w:spacing w:before="360"/>
      </w:pPr>
    </w:p>
    <w:p>
      <w:r>
        <w:t xml:space="preserve">Vilhelmina,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Vilhelmina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2026-07-14T01:50:01.932Z</dcterms:created>
  <dcterms:modified xsi:type="dcterms:W3CDTF">2026-07-14T01:50:01.932Z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