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Vindeln kommunfullmäktige</w:t>
      </w:r>
    </w:p>
    <w:p>
      <w:pPr>
        <w:pStyle w:val="Heading1"/>
      </w:pPr>
      <w:r>
        <w:t xml:space="preserve">Fler hyresrätter i Vindelns centralort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Vindeln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 2025 konstaterar att Vindeln har bostadsbrist för unga och nyanlända. Endast 12 nya hyresrätter byggdes 2023–2025. Detta hindrar inflyttning och tillväxt.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Vindeln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ta fram en bostadsförsörjningsplan med fokus på hyresrätter.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Vindelnsbostäder får direktiv att bygga minst 30 nya hyreslägenheter fram till 2029.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markanvisningar prioriteras för allmännyttan.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planen följs upp årligen i fullmäktige.</w:t>
      </w:r>
    </w:p>
    <w:p>
      <w:pPr>
        <w:spacing w:before="360"/>
      </w:pPr>
    </w:p>
    <w:p>
      <w:r>
        <w:t xml:space="preserve">Vindeln,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Vindeln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2026-07-14T01:51:11.190Z</dcterms:created>
  <dcterms:modified xsi:type="dcterms:W3CDTF">2026-07-14T01:51:11.190Z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