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Timrå kommunfullmäktige</w:t>
      </w:r>
    </w:p>
    <w:p>
      <w:pPr>
        <w:pStyle w:val="Heading1"/>
      </w:pPr>
      <w:r>
        <w:t xml:space="preserve">Sommarjobb och praktik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Timrå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Timrå ligger på 12 procent (Arbetsförmedlingen 2025). Många unga saknar första arbetslivserfarenhet. Timrå IK och industrin kan erbjuda fler platser.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Timrå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garanterar sommarjobb till alla ungdomar födda 2008–2010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samverkansavtal tecknas med Timrå IK och lokala företag för minst 80 praktikplatser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medel avsätts i budgeten för lönekostnader och handledarstöd.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effekterna på sysselsättning redovisas årligen.</w:t>
      </w:r>
    </w:p>
    <w:p>
      <w:pPr>
        <w:spacing w:before="360"/>
      </w:pPr>
    </w:p>
    <w:p>
      <w:r>
        <w:t xml:space="preserve">Timrå,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Timrå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2026-07-14T01:33:14.818Z</dcterms:created>
  <dcterms:modified xsi:type="dcterms:W3CDTF">2026-07-14T01:33:14.818Z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