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Timrå kommunfullmäktige</w:t>
      </w:r>
    </w:p>
    <w:p>
      <w:pPr>
        <w:pStyle w:val="Heading1"/>
      </w:pPr>
      <w:r>
        <w:t xml:space="preserve">Utökad landsbygdskollektivtrafik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Timrå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 i Timrå har begränsad busstrafik kvällar och helger. Kollektivtrafiknämnden i Västernorrland visar att 35 procent av invånarna utanför tätorten saknar rimlig tillgång.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Timrå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Timrå kommun begär utökad kvälls- och helgtrafik på linjerna till Stavreviken och Söråker.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pilot med anropsstyrd trafik införs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samordning med skolskjutsar utreds för att effektivisera trafiken.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och resenärsstatistik redovisas till kommunfullmäktige efter ett år.</w:t>
      </w:r>
    </w:p>
    <w:p>
      <w:pPr>
        <w:spacing w:before="360"/>
      </w:pPr>
    </w:p>
    <w:p>
      <w:r>
        <w:t xml:space="preserve">Timrå,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Timrå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2026-07-14T01:33:14.822Z</dcterms:created>
  <dcterms:modified xsi:type="dcterms:W3CDTF">2026-07-14T01:33:14.822Z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