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Kungsör kommunfullmäktige</w:t>
      </w:r>
    </w:p>
    <w:p>
      <w:pPr>
        <w:pStyle w:val="Heading1"/>
      </w:pPr>
      <w:r>
        <w:t xml:space="preserve">Fler lärare i lågstadiet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Kungsör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Kungsör har 12,8 elever per lärare i årskurs 1–3, högre än länsgenomsnittet. Stöd till elever i behov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Kungsör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legitimerade lärare med 4 heltidstjänster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mindre undervisningsgrupper i årskurs 1–3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kompetensutveckling i läs- och skrivutveckling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resultatuppföljning per skola redovisas årligen.</w:t>
      </w:r>
    </w:p>
    <w:p>
      <w:pPr>
        <w:spacing w:before="360"/>
      </w:pPr>
    </w:p>
    <w:p>
      <w:r>
        <w:t xml:space="preserve">Kungsör,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Kungsör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2026-07-14T00:32:15.936Z</dcterms:created>
  <dcterms:modified xsi:type="dcterms:W3CDTF">2026-07-14T00:32:15.936Z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