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Surahammar kommunfullmäktige</w:t>
      </w:r>
    </w:p>
    <w:p>
      <w:pPr>
        <w:pStyle w:val="Heading1"/>
      </w:pPr>
      <w:r>
        <w:t xml:space="preserve">Stärkt skolstöd i Surahammar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Surahammar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Surahammars skolor var 228 2024, under rikssnitt. Fler elever behöver särskilt stöd enligt Skolverket. Likvärdig skola är centralt för Socialdemokraterna.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Surahammar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anställa 4 nya speciallärare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läxhjälp i alla kommunala 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1,8 mnkr för tidiga insatser i årskurs 1-3.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skolresultat kvartalsvis i nämnden.</w:t>
      </w:r>
    </w:p>
    <w:p>
      <w:pPr>
        <w:spacing w:before="360"/>
      </w:pPr>
    </w:p>
    <w:p>
      <w:r>
        <w:t xml:space="preserve">Surahammar,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Surahammar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2026-07-14T01:25:48.309Z</dcterms:created>
  <dcterms:modified xsi:type="dcterms:W3CDTF">2026-07-14T01:25:48.309Z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