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Grästorp kommunfullmäktige</w:t>
      </w:r>
    </w:p>
    <w:p>
      <w:pPr>
        <w:pStyle w:val="Heading1"/>
      </w:pPr>
      <w:r>
        <w:t xml:space="preserve">Stärkt bemanning i äldreomsorgen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Grästorp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Personaltätheten i Grästorps äldreomsorg ligger under länsgenomsnittet enligt Socialstyrelsen 2025. Hög sjukfrånvaro och tillfälliga anställningar påverkar kvaliteten. Brå trygghetsmätning visar oro bland äldre för kontinuitet i vården.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Grästorp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öka grundbemanningen med 8 heltidstjänster inom hemtjänst och särskilt boende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heltidsanställningar som norm för all omsorgspersonal.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1,5 mnkr för kompetensutveckling och arbetsmiljöåtgärder.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följa upp personaltäthet och brukarnöjdhet i delårsrapporten.</w:t>
      </w:r>
    </w:p>
    <w:p>
      <w:pPr>
        <w:spacing w:before="360"/>
      </w:pPr>
    </w:p>
    <w:p>
      <w:r>
        <w:t xml:space="preserve">Grästorp,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Grästorp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2026-07-14T00:01:41.785Z</dcterms:created>
  <dcterms:modified xsi:type="dcterms:W3CDTF">2026-07-14T00:01:41.786Z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