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Gullspång kommunfullmäktige</w:t>
      </w:r>
    </w:p>
    <w:p>
      <w:pPr>
        <w:pStyle w:val="Heading1"/>
      </w:pPr>
      <w:r>
        <w:t xml:space="preserve">Stärkt elevstöd i grundskolan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Socialdemokraterna i Gullspång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Meritvärdet i Gullspångs skolor ligger på 218 poäng (Kolada 2024), under rikssnittet. Lärarbrist och stora klasser försvårar stöd till elever i utsatta områden. Fler speciallärare behövs för likvärdig skola.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Socialdemokraterna i Gullspång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anställa två ytterligare speciallärare från höstterminen 2027.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ett särskilt stödprogram för elever med låga resultat införs i Gullspångs skola.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samverkan med Västra Götalandsregionen om elevhälsa förstärks.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resultat och uppföljning redovisas årligen till kommunfullmäktige.</w:t>
      </w:r>
    </w:p>
    <w:p>
      <w:pPr>
        <w:spacing w:before="360"/>
      </w:pPr>
    </w:p>
    <w:p>
      <w:r>
        <w:t xml:space="preserve">Gullspång,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Socialdemokraterna i Gullspång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2026-07-14T00:02:12.177Z</dcterms:created>
  <dcterms:modified xsi:type="dcterms:W3CDTF">2026-07-14T00:02:12.177Z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