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Uddevalla kommunfullmäktige</w:t>
      </w:r>
    </w:p>
    <w:p>
      <w:pPr>
        <w:pStyle w:val="Heading1"/>
      </w:pPr>
      <w:r>
        <w:t xml:space="preserve">Öppen budgetprocess för medborgarinflytande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Uddevalla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Medborgarinflytandet i budgetprocessen är begränsat. Flera kommuner har infört medborgarbudgetar med goda resultat. Ökad transparens stärker demokratin enligt SKR:s rekommendationer.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Uddevalla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en pilot för medborgarbudget på 5 miljoner kronor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medborgarförslag ska kunna lämnas digitalt via kommunens e-tjänst.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öppen budgethearing anordnas årligen.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utvärdering av piloten presenteras för kommunfullmäktige 2028.</w:t>
      </w:r>
    </w:p>
    <w:p>
      <w:pPr>
        <w:spacing w:before="360"/>
      </w:pPr>
    </w:p>
    <w:p>
      <w:r>
        <w:t xml:space="preserve">Uddevalla,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Uddevalla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2026-07-14T01:40:25.944Z</dcterms:created>
  <dcterms:modified xsi:type="dcterms:W3CDTF">2026-07-14T01:40:25.944Z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